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  <w:rsid w:val="7CBB3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范蓉</cp:lastModifiedBy>
  <dcterms:modified xsi:type="dcterms:W3CDTF">2025-11-05T07:34:41Z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2052-12.1.0.17857</vt:lpwstr>
  </property>
  <property fmtid="{D5CDD505-2E9C-101B-9397-08002B2CF9AE}" pid="5" name="ICV">
    <vt:lpwstr>758EA31D2A4C4F23B23B1D664E3D1B08_13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